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FBBE" w14:textId="4A6EB8E7" w:rsidR="0012364E" w:rsidRPr="004B5B97" w:rsidRDefault="003F54EF">
      <w:pPr>
        <w:rPr>
          <w:sz w:val="28"/>
          <w:u w:val="single"/>
        </w:rPr>
      </w:pPr>
      <w:r>
        <w:rPr>
          <w:sz w:val="28"/>
          <w:u w:val="single"/>
        </w:rPr>
        <w:t>HCW EXEMPTIONS – RISK ASSESSMENT</w:t>
      </w:r>
    </w:p>
    <w:p w14:paraId="116593D9" w14:textId="77777777" w:rsidR="00B1401D" w:rsidRPr="00C00251" w:rsidRDefault="004B5B97">
      <w:pPr>
        <w:rPr>
          <w:rFonts w:cstheme="minorHAnsi"/>
          <w:b/>
          <w:bCs/>
          <w:sz w:val="28"/>
          <w:szCs w:val="28"/>
        </w:rPr>
      </w:pPr>
      <w:r w:rsidRPr="00C00251">
        <w:rPr>
          <w:rFonts w:cstheme="minorHAnsi"/>
          <w:b/>
          <w:bCs/>
          <w:sz w:val="28"/>
          <w:szCs w:val="28"/>
        </w:rPr>
        <w:t xml:space="preserve">Section 1: </w:t>
      </w:r>
      <w:r w:rsidR="00B1401D" w:rsidRPr="00C00251">
        <w:rPr>
          <w:rFonts w:cstheme="minorHAnsi"/>
          <w:b/>
          <w:bCs/>
          <w:sz w:val="28"/>
          <w:szCs w:val="28"/>
        </w:rPr>
        <w:t>How to use this risk assessment:</w:t>
      </w:r>
    </w:p>
    <w:p w14:paraId="7975C8DA" w14:textId="506C8EBA" w:rsidR="00DD762D" w:rsidRDefault="00DD762D" w:rsidP="0015596E">
      <w:pPr>
        <w:pStyle w:val="ListParagraph"/>
        <w:numPr>
          <w:ilvl w:val="0"/>
          <w:numId w:val="14"/>
        </w:numPr>
      </w:pPr>
      <w:r>
        <w:t>This Risk Assessment</w:t>
      </w:r>
      <w:r w:rsidR="00C00251">
        <w:t xml:space="preserve"> (RA)</w:t>
      </w:r>
      <w:r>
        <w:t xml:space="preserve"> should only be used if there is a likelihood that staff absence creates a </w:t>
      </w:r>
      <w:r w:rsidRPr="00DD762D">
        <w:rPr>
          <w:b/>
          <w:bCs/>
        </w:rPr>
        <w:t>significant risk</w:t>
      </w:r>
      <w:r>
        <w:t xml:space="preserve"> to the health or safety of patients or service users.</w:t>
      </w:r>
    </w:p>
    <w:p w14:paraId="22E6C8E8" w14:textId="59AA162D" w:rsidR="008D317B" w:rsidRPr="008D317B" w:rsidRDefault="00DD762D" w:rsidP="00713CA9">
      <w:pPr>
        <w:pStyle w:val="ListParagraph"/>
        <w:numPr>
          <w:ilvl w:val="0"/>
          <w:numId w:val="14"/>
        </w:numPr>
      </w:pPr>
      <w:r>
        <w:t xml:space="preserve">This RA is applicable for those health and social care staff </w:t>
      </w:r>
      <w:r w:rsidR="008D317B">
        <w:t xml:space="preserve">in line with the </w:t>
      </w:r>
      <w:hyperlink r:id="rId10" w:history="1">
        <w:r w:rsidR="008D317B" w:rsidRPr="008D317B">
          <w:rPr>
            <w:rStyle w:val="Hyperlink"/>
          </w:rPr>
          <w:t>Health Care Settings Guidance</w:t>
        </w:r>
      </w:hyperlink>
      <w:r w:rsidR="008D317B">
        <w:t xml:space="preserve">, </w:t>
      </w:r>
      <w:r>
        <w:t xml:space="preserve">whose activities are </w:t>
      </w:r>
      <w:r w:rsidRPr="008D317B">
        <w:rPr>
          <w:b/>
          <w:bCs/>
        </w:rPr>
        <w:t>critical</w:t>
      </w:r>
      <w:r>
        <w:t xml:space="preserve"> to the on-going provision of care, and who have been identified as a </w:t>
      </w:r>
      <w:hyperlink r:id="rId11" w:history="1">
        <w:r w:rsidR="008D317B">
          <w:rPr>
            <w:rStyle w:val="Hyperlink"/>
          </w:rPr>
          <w:t>CONTACT</w:t>
        </w:r>
      </w:hyperlink>
      <w:r>
        <w:t xml:space="preserve"> of a case of COVID-19</w:t>
      </w:r>
      <w:r w:rsidR="008D317B">
        <w:t>.</w:t>
      </w:r>
    </w:p>
    <w:p w14:paraId="1E6567B3" w14:textId="12CADD3E" w:rsidR="00DD762D" w:rsidRDefault="003F54EF" w:rsidP="0015596E">
      <w:pPr>
        <w:pStyle w:val="ListParagraph"/>
        <w:numPr>
          <w:ilvl w:val="0"/>
          <w:numId w:val="14"/>
        </w:numPr>
      </w:pPr>
      <w:r>
        <w:t>F</w:t>
      </w:r>
      <w:r w:rsidR="00DD762D">
        <w:t>ollowing the RA, they may be able to attend work rather than self-isolate if they are fully vaccinated (more than 14 days after the second dose)</w:t>
      </w:r>
      <w:r w:rsidR="0015596E">
        <w:t xml:space="preserve"> and have no symptoms of COVID-19</w:t>
      </w:r>
      <w:r w:rsidR="00DD762D">
        <w:t>.</w:t>
      </w:r>
    </w:p>
    <w:p w14:paraId="33480788" w14:textId="215D5AB5" w:rsidR="00DD762D" w:rsidRPr="003F54EF" w:rsidRDefault="00DD762D" w:rsidP="003F54EF">
      <w:pPr>
        <w:rPr>
          <w:b/>
          <w:bCs/>
        </w:rPr>
      </w:pPr>
      <w:r w:rsidRPr="003F54EF">
        <w:rPr>
          <w:b/>
          <w:bCs/>
        </w:rPr>
        <w:t xml:space="preserve">There are additional requirements: </w:t>
      </w:r>
    </w:p>
    <w:p w14:paraId="28041E6E" w14:textId="4A5A2FF7" w:rsidR="00DD762D" w:rsidRDefault="00DD762D" w:rsidP="0015596E">
      <w:pPr>
        <w:pStyle w:val="ListParagraph"/>
        <w:numPr>
          <w:ilvl w:val="0"/>
          <w:numId w:val="14"/>
        </w:numPr>
      </w:pPr>
      <w:r>
        <w:t>Staff members should only attend work after having a negative PCR test and daily negative LFD antigen tests</w:t>
      </w:r>
      <w:r w:rsidR="003F54EF">
        <w:t xml:space="preserve"> during the stated “isolation period”</w:t>
      </w:r>
      <w:r>
        <w:t xml:space="preserve">. </w:t>
      </w:r>
    </w:p>
    <w:p w14:paraId="26D2F925" w14:textId="77777777" w:rsidR="00DD762D" w:rsidRDefault="00DD762D" w:rsidP="0015596E">
      <w:pPr>
        <w:pStyle w:val="ListParagraph"/>
        <w:numPr>
          <w:ilvl w:val="0"/>
          <w:numId w:val="14"/>
        </w:numPr>
      </w:pPr>
      <w:r>
        <w:t xml:space="preserve">This must </w:t>
      </w:r>
      <w:r w:rsidRPr="003F54EF">
        <w:rPr>
          <w:b/>
          <w:bCs/>
        </w:rPr>
        <w:t>only</w:t>
      </w:r>
      <w:r>
        <w:t xml:space="preserve"> occur in </w:t>
      </w:r>
      <w:r w:rsidRPr="003F54EF">
        <w:rPr>
          <w:b/>
          <w:bCs/>
        </w:rPr>
        <w:t>exceptional circumstances</w:t>
      </w:r>
      <w:r>
        <w:t xml:space="preserve"> and where </w:t>
      </w:r>
      <w:r w:rsidRPr="003F54EF">
        <w:rPr>
          <w:b/>
          <w:bCs/>
        </w:rPr>
        <w:t>additional safety measures</w:t>
      </w:r>
      <w:r>
        <w:t xml:space="preserve"> can be upheld. </w:t>
      </w:r>
    </w:p>
    <w:p w14:paraId="6EF8DD66" w14:textId="76D5FAE6" w:rsidR="00DD762D" w:rsidRDefault="00DD762D" w:rsidP="0015596E">
      <w:pPr>
        <w:pStyle w:val="ListParagraph"/>
        <w:numPr>
          <w:ilvl w:val="0"/>
          <w:numId w:val="14"/>
        </w:numPr>
      </w:pPr>
      <w:r>
        <w:t xml:space="preserve">The risk assessment should be conducted by an individual(s) nominated by the organisation’s </w:t>
      </w:r>
      <w:r w:rsidR="003F54EF">
        <w:t>management and</w:t>
      </w:r>
      <w:r>
        <w:t xml:space="preserve"> authorised by the organisation’s local Director of Infection Prevention and Control and/or the lead professional for health protection and/or Director of Public Health – as relevant to the organisation.</w:t>
      </w:r>
    </w:p>
    <w:p w14:paraId="65960778" w14:textId="516BA504" w:rsidR="004B5B97" w:rsidRDefault="004B5B97" w:rsidP="0015596E">
      <w:pPr>
        <w:pStyle w:val="ListParagraph"/>
        <w:numPr>
          <w:ilvl w:val="0"/>
          <w:numId w:val="14"/>
        </w:numPr>
      </w:pPr>
      <w:r>
        <w:t xml:space="preserve">Completion of this risk assessment enables the line manager to </w:t>
      </w:r>
      <w:r w:rsidR="00EB609F">
        <w:t>show</w:t>
      </w:r>
      <w:r>
        <w:t xml:space="preserve"> that each person’s situation</w:t>
      </w:r>
      <w:r w:rsidR="00DD762D">
        <w:t xml:space="preserve"> has been considered</w:t>
      </w:r>
      <w:r>
        <w:t xml:space="preserve"> to balance the risk of infection spreading against critical staffing levels for </w:t>
      </w:r>
      <w:r w:rsidR="00DD762D">
        <w:t xml:space="preserve">safe </w:t>
      </w:r>
      <w:r>
        <w:t>patient care.</w:t>
      </w:r>
    </w:p>
    <w:p w14:paraId="2F64B24E" w14:textId="098DF547" w:rsidR="00C00251" w:rsidRDefault="004B5B97" w:rsidP="00C00251">
      <w:r>
        <w:t>Th</w:t>
      </w:r>
      <w:r w:rsidR="00C00251">
        <w:t>is</w:t>
      </w:r>
      <w:r>
        <w:t xml:space="preserve"> risk assessment is not </w:t>
      </w:r>
      <w:r w:rsidR="00C00251">
        <w:t>needed in the following situations</w:t>
      </w:r>
    </w:p>
    <w:p w14:paraId="3040AC5D" w14:textId="5370F49B" w:rsidR="00287DE9" w:rsidRDefault="0015596E" w:rsidP="00C00251">
      <w:pPr>
        <w:pStyle w:val="ListParagraph"/>
        <w:numPr>
          <w:ilvl w:val="0"/>
          <w:numId w:val="6"/>
        </w:numPr>
      </w:pPr>
      <w:r>
        <w:t>A s</w:t>
      </w:r>
      <w:r w:rsidR="004B5B97">
        <w:t>taff member does not need to isolate through contact at work in clinical situations with appropriate precautions</w:t>
      </w:r>
      <w:r>
        <w:t xml:space="preserve"> </w:t>
      </w:r>
      <w:r w:rsidR="004B5B97">
        <w:t>in place</w:t>
      </w:r>
      <w:r>
        <w:t xml:space="preserve"> </w:t>
      </w:r>
    </w:p>
    <w:p w14:paraId="3C213870" w14:textId="20FA663D" w:rsidR="006E0627" w:rsidRDefault="00B1401D" w:rsidP="00C00251">
      <w:pPr>
        <w:pStyle w:val="ListParagraph"/>
        <w:numPr>
          <w:ilvl w:val="0"/>
          <w:numId w:val="6"/>
        </w:numPr>
      </w:pPr>
      <w:r>
        <w:t>This risk assessment</w:t>
      </w:r>
      <w:r w:rsidR="002A0F87">
        <w:t xml:space="preserve"> is </w:t>
      </w:r>
      <w:r>
        <w:t>NOT</w:t>
      </w:r>
      <w:r w:rsidR="002A0F87">
        <w:t xml:space="preserve"> for a person who receives the notification</w:t>
      </w:r>
      <w:r w:rsidR="003F54EF">
        <w:t xml:space="preserve"> on the NHS COVID App, which is only advisory </w:t>
      </w:r>
    </w:p>
    <w:p w14:paraId="5E528ABE" w14:textId="48881FA1" w:rsidR="006E0627" w:rsidRPr="00C00251" w:rsidRDefault="004B5B97">
      <w:pPr>
        <w:rPr>
          <w:rFonts w:cstheme="minorHAnsi"/>
          <w:b/>
          <w:bCs/>
          <w:sz w:val="28"/>
          <w:szCs w:val="28"/>
        </w:rPr>
      </w:pPr>
      <w:r w:rsidRPr="00C00251">
        <w:rPr>
          <w:rFonts w:cstheme="minorHAnsi"/>
          <w:b/>
          <w:bCs/>
          <w:sz w:val="28"/>
          <w:szCs w:val="28"/>
        </w:rPr>
        <w:t>Section 2</w:t>
      </w:r>
      <w:r w:rsidR="00C00251">
        <w:rPr>
          <w:rFonts w:cstheme="minorHAnsi"/>
          <w:b/>
          <w:bCs/>
          <w:sz w:val="28"/>
          <w:szCs w:val="28"/>
        </w:rPr>
        <w:t>:</w:t>
      </w:r>
      <w:r w:rsidRPr="00C00251">
        <w:rPr>
          <w:rFonts w:cstheme="minorHAnsi"/>
          <w:b/>
          <w:bCs/>
          <w:sz w:val="28"/>
          <w:szCs w:val="28"/>
        </w:rPr>
        <w:t xml:space="preserve">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27221" w14:paraId="33364677" w14:textId="77777777" w:rsidTr="00327221">
        <w:tc>
          <w:tcPr>
            <w:tcW w:w="7225" w:type="dxa"/>
          </w:tcPr>
          <w:p w14:paraId="5E399F4C" w14:textId="3FFE4C1E" w:rsidR="00327221" w:rsidRPr="00327221" w:rsidRDefault="00C00251" w:rsidP="00D96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 ASSESSMENT ESSENTIAL </w:t>
            </w:r>
            <w:r w:rsidR="00327221" w:rsidRPr="00327221">
              <w:rPr>
                <w:b/>
                <w:bCs/>
              </w:rPr>
              <w:t>INFORMATION</w:t>
            </w:r>
          </w:p>
        </w:tc>
        <w:tc>
          <w:tcPr>
            <w:tcW w:w="1791" w:type="dxa"/>
          </w:tcPr>
          <w:p w14:paraId="63A1047E" w14:textId="2DACBB29" w:rsidR="00327221" w:rsidRPr="00327221" w:rsidRDefault="00327221">
            <w:pPr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  <w:r w:rsidR="005A6DE1">
              <w:rPr>
                <w:b/>
                <w:bCs/>
              </w:rPr>
              <w:t xml:space="preserve"> </w:t>
            </w:r>
          </w:p>
        </w:tc>
      </w:tr>
      <w:tr w:rsidR="00D96D04" w14:paraId="2291E6F4" w14:textId="77777777" w:rsidTr="00327221">
        <w:tc>
          <w:tcPr>
            <w:tcW w:w="7225" w:type="dxa"/>
          </w:tcPr>
          <w:p w14:paraId="29C451A5" w14:textId="7B3951B0" w:rsidR="00D96D04" w:rsidRDefault="00D96D04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>Date of R</w:t>
            </w:r>
            <w:r w:rsidR="00327221">
              <w:t xml:space="preserve">isk </w:t>
            </w:r>
            <w:r>
              <w:t>A</w:t>
            </w:r>
            <w:r w:rsidR="00327221">
              <w:t>ssessment</w:t>
            </w:r>
          </w:p>
          <w:p w14:paraId="5575B321" w14:textId="1945E73A" w:rsidR="00D96D04" w:rsidRDefault="00D96D04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1F65E1BE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05D02436" w14:textId="77777777" w:rsidTr="00327221">
        <w:tc>
          <w:tcPr>
            <w:tcW w:w="7225" w:type="dxa"/>
          </w:tcPr>
          <w:p w14:paraId="4D612167" w14:textId="4F151EA4" w:rsidR="00D96D04" w:rsidRDefault="00D96D04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 xml:space="preserve">Date &amp; time person </w:t>
            </w:r>
            <w:r w:rsidR="00C00251">
              <w:t>require</w:t>
            </w:r>
            <w:r>
              <w:t xml:space="preserve">d to self-isolate until </w:t>
            </w:r>
          </w:p>
          <w:p w14:paraId="5255E991" w14:textId="77777777" w:rsidR="00D96D04" w:rsidRPr="00805115" w:rsidRDefault="00D96D04" w:rsidP="00805115">
            <w:pPr>
              <w:ind w:left="313"/>
            </w:pPr>
          </w:p>
        </w:tc>
        <w:tc>
          <w:tcPr>
            <w:tcW w:w="1791" w:type="dxa"/>
          </w:tcPr>
          <w:p w14:paraId="44EE5217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1089507F" w14:textId="77777777" w:rsidTr="00327221">
        <w:tc>
          <w:tcPr>
            <w:tcW w:w="7225" w:type="dxa"/>
          </w:tcPr>
          <w:p w14:paraId="39D4B34C" w14:textId="77777777" w:rsidR="00C00251" w:rsidRPr="00C00251" w:rsidRDefault="00D96D04" w:rsidP="00C00251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>Date of contact (11 days before final date of isolation)</w:t>
            </w:r>
            <w:r w:rsidR="00C00251">
              <w:t xml:space="preserve"> </w:t>
            </w:r>
            <w:r w:rsidR="00C00251" w:rsidRPr="00C00251">
              <w:t>D</w:t>
            </w:r>
            <w:hyperlink r:id="rId12" w:history="1"/>
            <w:r w:rsidR="00C00251" w:rsidRPr="00C00251">
              <w:t>efinitions of contacts can be found</w:t>
            </w:r>
            <w:r w:rsidR="00C00251">
              <w:t xml:space="preserve"> </w:t>
            </w:r>
            <w:hyperlink r:id="rId13" w:history="1">
              <w:r w:rsidR="00C00251" w:rsidRPr="00C00251">
                <w:rPr>
                  <w:rStyle w:val="Hyperlink"/>
                </w:rPr>
                <w:t>here</w:t>
              </w:r>
            </w:hyperlink>
            <w:r w:rsidR="00C00251" w:rsidRPr="00C00251">
              <w:rPr>
                <w:u w:val="single"/>
              </w:rPr>
              <w:t>.</w:t>
            </w:r>
          </w:p>
          <w:p w14:paraId="3D8FED97" w14:textId="05B2C7CC" w:rsidR="00D96D04" w:rsidRDefault="00D96D04" w:rsidP="00C00251">
            <w:r>
              <w:t xml:space="preserve">N.B. This is </w:t>
            </w:r>
            <w:r w:rsidRPr="00805115">
              <w:t xml:space="preserve">11 </w:t>
            </w:r>
            <w:r>
              <w:t>days before the end of isolation e.g. date isolation ends is given as 6 July, date of contact is 26 June</w:t>
            </w:r>
            <w:r w:rsidR="00C00251">
              <w:t>,</w:t>
            </w:r>
            <w:r>
              <w:t xml:space="preserve"> as date of contact is </w:t>
            </w:r>
            <w:r w:rsidR="00C00251">
              <w:t xml:space="preserve">counted as </w:t>
            </w:r>
            <w:r>
              <w:t>day 0 with 10 days isolation after this.</w:t>
            </w:r>
          </w:p>
          <w:p w14:paraId="1D09D5A8" w14:textId="7F7EC672" w:rsidR="00D2699E" w:rsidRPr="00805115" w:rsidRDefault="00D2699E" w:rsidP="00805115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1D563DB0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17503017" w14:textId="77777777" w:rsidTr="00327221">
        <w:tc>
          <w:tcPr>
            <w:tcW w:w="7225" w:type="dxa"/>
          </w:tcPr>
          <w:p w14:paraId="7EE1DD84" w14:textId="76ED0FA9" w:rsidR="00D96D04" w:rsidRPr="00805115" w:rsidRDefault="00D96D04" w:rsidP="00D2699E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>What contact has led t</w:t>
            </w:r>
            <w:r w:rsidR="00D2699E">
              <w:t>hem to be</w:t>
            </w:r>
            <w:r>
              <w:t xml:space="preserve">ing identified? Tick </w:t>
            </w:r>
            <w:r w:rsidRPr="00805115">
              <w:t>√</w:t>
            </w:r>
          </w:p>
        </w:tc>
        <w:tc>
          <w:tcPr>
            <w:tcW w:w="1791" w:type="dxa"/>
          </w:tcPr>
          <w:p w14:paraId="39FC18CC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02678846" w14:textId="77777777" w:rsidTr="00327221">
        <w:tc>
          <w:tcPr>
            <w:tcW w:w="7225" w:type="dxa"/>
          </w:tcPr>
          <w:p w14:paraId="7A519DFF" w14:textId="7603D622" w:rsidR="00D96D04" w:rsidRPr="00805115" w:rsidRDefault="00D96D04" w:rsidP="00327221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 w:rsidRPr="00805115">
              <w:rPr>
                <w:i/>
                <w:iCs/>
              </w:rPr>
              <w:t>Household member who is a case</w:t>
            </w:r>
            <w:r w:rsidR="00176FE3">
              <w:rPr>
                <w:i/>
                <w:iCs/>
              </w:rPr>
              <w:t xml:space="preserve"> </w:t>
            </w:r>
            <w:r w:rsidR="00176FE3" w:rsidRPr="00176FE3">
              <w:rPr>
                <w:i/>
                <w:iCs/>
                <w:highlight w:val="yellow"/>
              </w:rPr>
              <w:t>– the HCW cannot be allowed back</w:t>
            </w:r>
          </w:p>
        </w:tc>
        <w:tc>
          <w:tcPr>
            <w:tcW w:w="1791" w:type="dxa"/>
          </w:tcPr>
          <w:p w14:paraId="28272FF5" w14:textId="541528D8" w:rsidR="00D96D04" w:rsidRDefault="00D96D04">
            <w:pPr>
              <w:rPr>
                <w:b/>
                <w:bCs/>
              </w:rPr>
            </w:pPr>
          </w:p>
        </w:tc>
      </w:tr>
      <w:tr w:rsidR="00D96D04" w14:paraId="4788FB34" w14:textId="77777777" w:rsidTr="00327221">
        <w:tc>
          <w:tcPr>
            <w:tcW w:w="7225" w:type="dxa"/>
          </w:tcPr>
          <w:p w14:paraId="58E396BB" w14:textId="16B76F79" w:rsidR="00D96D04" w:rsidRPr="00805115" w:rsidRDefault="00D96D04" w:rsidP="00327221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 w:rsidRPr="00805115">
              <w:rPr>
                <w:i/>
                <w:iCs/>
              </w:rPr>
              <w:t>Friend or colleague who is a case</w:t>
            </w:r>
          </w:p>
        </w:tc>
        <w:tc>
          <w:tcPr>
            <w:tcW w:w="1791" w:type="dxa"/>
          </w:tcPr>
          <w:p w14:paraId="2E1A71B5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73241969" w14:textId="77777777" w:rsidTr="00327221">
        <w:tc>
          <w:tcPr>
            <w:tcW w:w="7225" w:type="dxa"/>
          </w:tcPr>
          <w:p w14:paraId="54BACD63" w14:textId="4AEFC762" w:rsidR="00D96D04" w:rsidRPr="00805115" w:rsidRDefault="00D96D04" w:rsidP="00327221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 w:rsidRPr="00805115">
              <w:rPr>
                <w:i/>
                <w:iCs/>
              </w:rPr>
              <w:t>PPE breach or proximity contact exposure in a healthcare setting</w:t>
            </w:r>
          </w:p>
        </w:tc>
        <w:tc>
          <w:tcPr>
            <w:tcW w:w="1791" w:type="dxa"/>
          </w:tcPr>
          <w:p w14:paraId="1D662848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62F97DD2" w14:textId="77777777" w:rsidTr="00327221">
        <w:tc>
          <w:tcPr>
            <w:tcW w:w="7225" w:type="dxa"/>
          </w:tcPr>
          <w:p w14:paraId="6D19DA8C" w14:textId="559A7C2B" w:rsidR="00D96D04" w:rsidRPr="00805115" w:rsidRDefault="00D96D04" w:rsidP="00D2699E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 w:rsidRPr="00805115">
              <w:rPr>
                <w:i/>
                <w:iCs/>
              </w:rPr>
              <w:t>Eating- drinking establishment where there was a case</w:t>
            </w:r>
          </w:p>
        </w:tc>
        <w:tc>
          <w:tcPr>
            <w:tcW w:w="1791" w:type="dxa"/>
          </w:tcPr>
          <w:p w14:paraId="13E212D7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798265D0" w14:textId="77777777" w:rsidTr="00327221">
        <w:tc>
          <w:tcPr>
            <w:tcW w:w="7225" w:type="dxa"/>
          </w:tcPr>
          <w:p w14:paraId="185CD894" w14:textId="19DECAFD" w:rsidR="00D96D04" w:rsidRPr="00805115" w:rsidRDefault="00D96D04" w:rsidP="00327221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 w:rsidRPr="00805115">
              <w:rPr>
                <w:i/>
                <w:iCs/>
              </w:rPr>
              <w:lastRenderedPageBreak/>
              <w:t>Inside a public area (different to above point)</w:t>
            </w:r>
          </w:p>
        </w:tc>
        <w:tc>
          <w:tcPr>
            <w:tcW w:w="1791" w:type="dxa"/>
          </w:tcPr>
          <w:p w14:paraId="3CED5FD6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399517A5" w14:textId="77777777" w:rsidTr="00327221">
        <w:tc>
          <w:tcPr>
            <w:tcW w:w="7225" w:type="dxa"/>
          </w:tcPr>
          <w:p w14:paraId="2D217045" w14:textId="77777777" w:rsidR="009737D9" w:rsidRDefault="00D96D04" w:rsidP="009737D9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 w:rsidRPr="00805115">
              <w:rPr>
                <w:i/>
                <w:iCs/>
              </w:rPr>
              <w:t>Outside event in crowded area (under 2m distancing) e.g. sports event</w:t>
            </w:r>
          </w:p>
          <w:p w14:paraId="110DE33E" w14:textId="5E816A42" w:rsidR="009737D9" w:rsidRPr="009737D9" w:rsidRDefault="009737D9" w:rsidP="009737D9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>
              <w:rPr>
                <w:i/>
                <w:iCs/>
              </w:rPr>
              <w:t>Other (describe)</w:t>
            </w:r>
          </w:p>
        </w:tc>
        <w:tc>
          <w:tcPr>
            <w:tcW w:w="1791" w:type="dxa"/>
          </w:tcPr>
          <w:p w14:paraId="5CD384A8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507A5587" w14:textId="77777777" w:rsidTr="00327221">
        <w:tc>
          <w:tcPr>
            <w:tcW w:w="7225" w:type="dxa"/>
          </w:tcPr>
          <w:p w14:paraId="7F4433A5" w14:textId="697B582B" w:rsidR="00D96D04" w:rsidRDefault="00D96D04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 xml:space="preserve">On the day of contact did </w:t>
            </w:r>
            <w:r w:rsidR="00D2699E">
              <w:t>they</w:t>
            </w:r>
            <w:r>
              <w:t xml:space="preserve"> follow good practice of:</w:t>
            </w:r>
          </w:p>
          <w:p w14:paraId="062C29B0" w14:textId="77777777" w:rsidR="00D96D04" w:rsidRDefault="00D96D04" w:rsidP="00327221">
            <w:pPr>
              <w:pStyle w:val="ListParagraph"/>
              <w:numPr>
                <w:ilvl w:val="0"/>
                <w:numId w:val="16"/>
              </w:numPr>
            </w:pPr>
            <w:r>
              <w:t>Mask wearing   Yes/ No</w:t>
            </w:r>
          </w:p>
          <w:p w14:paraId="6747F723" w14:textId="77777777" w:rsidR="00D96D04" w:rsidRDefault="00D96D04" w:rsidP="00327221">
            <w:pPr>
              <w:pStyle w:val="ListParagraph"/>
              <w:numPr>
                <w:ilvl w:val="0"/>
                <w:numId w:val="16"/>
              </w:numPr>
            </w:pPr>
            <w:r>
              <w:t>Hand hygiene    Yes/ No</w:t>
            </w:r>
          </w:p>
          <w:p w14:paraId="0659A7D2" w14:textId="77777777" w:rsidR="00D96D04" w:rsidRDefault="00D96D04"/>
        </w:tc>
        <w:tc>
          <w:tcPr>
            <w:tcW w:w="1791" w:type="dxa"/>
          </w:tcPr>
          <w:p w14:paraId="3887E574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117546D5" w14:textId="77777777" w:rsidTr="00327221">
        <w:tc>
          <w:tcPr>
            <w:tcW w:w="7225" w:type="dxa"/>
          </w:tcPr>
          <w:p w14:paraId="2625D1F6" w14:textId="0DF0A8EB" w:rsidR="00D96D04" w:rsidRDefault="00D96D04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 xml:space="preserve">Have </w:t>
            </w:r>
            <w:r w:rsidR="00D2699E">
              <w:t>they</w:t>
            </w:r>
            <w:r>
              <w:t xml:space="preserve"> had 2 doses of COVID vaccination? </w:t>
            </w:r>
          </w:p>
          <w:p w14:paraId="1C48650A" w14:textId="77777777" w:rsidR="00D96D04" w:rsidRDefault="00D96D04" w:rsidP="00805115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20590082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181C8986" w14:textId="77777777" w:rsidTr="00327221">
        <w:tc>
          <w:tcPr>
            <w:tcW w:w="7225" w:type="dxa"/>
          </w:tcPr>
          <w:p w14:paraId="0C36FC5B" w14:textId="226194A6" w:rsidR="00D96D04" w:rsidRDefault="00D96D04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 xml:space="preserve">Which vaccine did </w:t>
            </w:r>
            <w:r w:rsidR="00D2699E">
              <w:t>they</w:t>
            </w:r>
            <w:r>
              <w:t xml:space="preserve"> receive?</w:t>
            </w:r>
          </w:p>
          <w:p w14:paraId="4E4CA668" w14:textId="77777777" w:rsidR="00D96D04" w:rsidRDefault="00D96D04" w:rsidP="00805115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6D98C077" w14:textId="77777777" w:rsidR="00D96D04" w:rsidRDefault="00D96D04">
            <w:pPr>
              <w:rPr>
                <w:b/>
                <w:bCs/>
              </w:rPr>
            </w:pPr>
          </w:p>
        </w:tc>
      </w:tr>
      <w:tr w:rsidR="00D96D04" w14:paraId="46C6CA0D" w14:textId="77777777" w:rsidTr="00327221">
        <w:tc>
          <w:tcPr>
            <w:tcW w:w="7225" w:type="dxa"/>
          </w:tcPr>
          <w:p w14:paraId="6F573C66" w14:textId="1307DED7" w:rsidR="00D96D04" w:rsidRDefault="00D96D04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>Date of 2</w:t>
            </w:r>
            <w:r w:rsidRPr="00805115">
              <w:t>nd</w:t>
            </w:r>
            <w:r>
              <w:t xml:space="preserve"> dose – is it over 14 days ago?</w:t>
            </w:r>
          </w:p>
          <w:p w14:paraId="3C11FDD3" w14:textId="77777777" w:rsidR="00D96D04" w:rsidRDefault="00D96D04" w:rsidP="00805115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194352A9" w14:textId="77777777" w:rsidR="00D96D04" w:rsidRDefault="00D96D04">
            <w:pPr>
              <w:rPr>
                <w:b/>
                <w:bCs/>
              </w:rPr>
            </w:pPr>
          </w:p>
        </w:tc>
      </w:tr>
      <w:tr w:rsidR="00327221" w14:paraId="66983B77" w14:textId="77777777" w:rsidTr="00327221">
        <w:tc>
          <w:tcPr>
            <w:tcW w:w="7225" w:type="dxa"/>
          </w:tcPr>
          <w:p w14:paraId="56F2B787" w14:textId="77777777" w:rsidR="00327221" w:rsidRDefault="00327221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>PCR Test done and negative before discussion about being able to work?</w:t>
            </w:r>
          </w:p>
          <w:p w14:paraId="1744E130" w14:textId="77777777" w:rsidR="00327221" w:rsidRDefault="00327221" w:rsidP="00D2699E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487FB6E5" w14:textId="77777777" w:rsidR="00327221" w:rsidRDefault="00327221" w:rsidP="00327221">
            <w:pPr>
              <w:rPr>
                <w:b/>
                <w:bCs/>
              </w:rPr>
            </w:pPr>
          </w:p>
        </w:tc>
      </w:tr>
      <w:tr w:rsidR="00327221" w14:paraId="3F074EF8" w14:textId="77777777" w:rsidTr="00327221">
        <w:tc>
          <w:tcPr>
            <w:tcW w:w="7225" w:type="dxa"/>
          </w:tcPr>
          <w:p w14:paraId="56079C92" w14:textId="7FCA56DC" w:rsidR="00327221" w:rsidRDefault="00327221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 xml:space="preserve">Any </w:t>
            </w:r>
            <w:hyperlink r:id="rId14" w:anchor="clinical-features" w:history="1">
              <w:r w:rsidR="00805115">
                <w:rPr>
                  <w:rStyle w:val="Hyperlink"/>
                </w:rPr>
                <w:t>COVID-19 SYMPTOMS</w:t>
              </w:r>
            </w:hyperlink>
            <w:r w:rsidR="00805115">
              <w:t>?</w:t>
            </w:r>
            <w:r>
              <w:t xml:space="preserve"> These have to be negative. </w:t>
            </w:r>
            <w:r w:rsidR="00D2699E">
              <w:t>Keep a low index of clinical suspicion for symptoms</w:t>
            </w:r>
            <w:r w:rsidR="009737D9">
              <w:t xml:space="preserve">. </w:t>
            </w:r>
            <w:r>
              <w:t xml:space="preserve">If they develop symptoms, they need to stop working and get a PCR test </w:t>
            </w:r>
            <w:hyperlink r:id="rId15" w:history="1">
              <w:r w:rsidR="00D2699E">
                <w:rPr>
                  <w:rStyle w:val="Hyperlink"/>
                  <w:lang w:val="en"/>
                </w:rPr>
                <w:t>COVID-19: getting tested guidance</w:t>
              </w:r>
            </w:hyperlink>
            <w:r>
              <w:t>)</w:t>
            </w:r>
            <w:r w:rsidR="00D2699E">
              <w:t xml:space="preserve">. </w:t>
            </w:r>
          </w:p>
          <w:p w14:paraId="7AEA0580" w14:textId="77777777" w:rsidR="00327221" w:rsidRDefault="00327221" w:rsidP="00D2699E"/>
        </w:tc>
        <w:tc>
          <w:tcPr>
            <w:tcW w:w="1791" w:type="dxa"/>
          </w:tcPr>
          <w:p w14:paraId="7EE1FF2D" w14:textId="77777777" w:rsidR="00327221" w:rsidRDefault="00327221" w:rsidP="00327221">
            <w:pPr>
              <w:rPr>
                <w:b/>
                <w:bCs/>
              </w:rPr>
            </w:pPr>
          </w:p>
        </w:tc>
      </w:tr>
      <w:tr w:rsidR="00327221" w14:paraId="213DB6FC" w14:textId="77777777" w:rsidTr="00327221">
        <w:tc>
          <w:tcPr>
            <w:tcW w:w="7225" w:type="dxa"/>
          </w:tcPr>
          <w:p w14:paraId="1A4B9710" w14:textId="100DBB5C" w:rsidR="00327221" w:rsidRDefault="00327221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>
              <w:t xml:space="preserve">Lateral Flow Test daily </w:t>
            </w:r>
            <w:r w:rsidR="00C00251">
              <w:t>(</w:t>
            </w:r>
            <w:hyperlink r:id="rId16" w:history="1">
              <w:r w:rsidR="00C00251">
                <w:rPr>
                  <w:rStyle w:val="Hyperlink"/>
                </w:rPr>
                <w:t>LFD testing instructions</w:t>
              </w:r>
            </w:hyperlink>
            <w:r w:rsidR="00C00251">
              <w:t xml:space="preserve">) </w:t>
            </w:r>
            <w:r>
              <w:t xml:space="preserve">for </w:t>
            </w:r>
            <w:r w:rsidRPr="00805115">
              <w:t>at least 7 days (and to a maximum of 10 days or completion of the identified isolation period) prior to starting work each day.</w:t>
            </w:r>
            <w:r w:rsidR="00C00251">
              <w:t xml:space="preserve"> </w:t>
            </w:r>
          </w:p>
          <w:p w14:paraId="4D156A6A" w14:textId="2A62E97F" w:rsidR="00327221" w:rsidRDefault="00327221" w:rsidP="00557701">
            <w:pPr>
              <w:pStyle w:val="ListParagraph"/>
              <w:numPr>
                <w:ilvl w:val="0"/>
                <w:numId w:val="17"/>
              </w:numPr>
            </w:pPr>
            <w:r>
              <w:t>Date of latest</w:t>
            </w:r>
            <w:r w:rsidR="00D2699E">
              <w:t xml:space="preserve"> LFD</w:t>
            </w:r>
            <w:r>
              <w:t xml:space="preserve"> test done </w:t>
            </w:r>
            <w:r w:rsidR="00D2699E">
              <w:t>and r</w:t>
            </w:r>
            <w:r>
              <w:t>esult</w:t>
            </w:r>
          </w:p>
          <w:p w14:paraId="636843EA" w14:textId="77777777" w:rsidR="00D2699E" w:rsidRPr="00D2699E" w:rsidRDefault="00805115" w:rsidP="00D2699E">
            <w:pPr>
              <w:pStyle w:val="ListParagraph"/>
              <w:numPr>
                <w:ilvl w:val="0"/>
                <w:numId w:val="17"/>
              </w:numPr>
            </w:pPr>
            <w:r w:rsidRPr="00D7338E">
              <w:rPr>
                <w:rFonts w:cstheme="minorHAnsi"/>
              </w:rPr>
              <w:t xml:space="preserve">Test results should be reported to NHS Test and Trace via the web portal and to their duty manager. </w:t>
            </w:r>
          </w:p>
          <w:p w14:paraId="151802F6" w14:textId="7883628A" w:rsidR="00D2699E" w:rsidRDefault="00D2699E" w:rsidP="00D2699E">
            <w:pPr>
              <w:pStyle w:val="ListParagraph"/>
            </w:pPr>
          </w:p>
        </w:tc>
        <w:tc>
          <w:tcPr>
            <w:tcW w:w="1791" w:type="dxa"/>
          </w:tcPr>
          <w:p w14:paraId="55365A94" w14:textId="77777777" w:rsidR="00327221" w:rsidRDefault="00327221" w:rsidP="00327221">
            <w:pPr>
              <w:rPr>
                <w:b/>
                <w:bCs/>
              </w:rPr>
            </w:pPr>
          </w:p>
        </w:tc>
      </w:tr>
      <w:tr w:rsidR="00D2699E" w14:paraId="4AE8A924" w14:textId="77777777" w:rsidTr="00327221">
        <w:tc>
          <w:tcPr>
            <w:tcW w:w="7225" w:type="dxa"/>
          </w:tcPr>
          <w:p w14:paraId="24055952" w14:textId="110B1073" w:rsidR="00D2699E" w:rsidRPr="00D2699E" w:rsidRDefault="00C00251" w:rsidP="00D269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 ASSESSMENT - KEY </w:t>
            </w:r>
            <w:r w:rsidR="00D2699E" w:rsidRPr="00D2699E">
              <w:rPr>
                <w:b/>
                <w:bCs/>
              </w:rPr>
              <w:t>ADVICE GIVEN</w:t>
            </w:r>
          </w:p>
        </w:tc>
        <w:tc>
          <w:tcPr>
            <w:tcW w:w="1791" w:type="dxa"/>
          </w:tcPr>
          <w:p w14:paraId="7C405422" w14:textId="2654BF82" w:rsidR="00D2699E" w:rsidRDefault="005A6DE1" w:rsidP="003272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TICK </w:t>
            </w:r>
            <w:r>
              <w:rPr>
                <w:rFonts w:cstheme="minorHAnsi"/>
                <w:b/>
                <w:bCs/>
              </w:rPr>
              <w:t>√</w:t>
            </w:r>
          </w:p>
        </w:tc>
      </w:tr>
      <w:tr w:rsidR="00327221" w14:paraId="6009F346" w14:textId="77777777" w:rsidTr="00327221">
        <w:tc>
          <w:tcPr>
            <w:tcW w:w="7225" w:type="dxa"/>
          </w:tcPr>
          <w:p w14:paraId="32A5661F" w14:textId="1C2C0D16" w:rsidR="00327221" w:rsidRPr="00805115" w:rsidRDefault="00327221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 w:rsidRPr="00805115">
              <w:t>If the staff member has a positive LFD test during this period, they should not attend work</w:t>
            </w:r>
            <w:r w:rsidR="00D2699E">
              <w:t xml:space="preserve"> </w:t>
            </w:r>
            <w:hyperlink r:id="rId17" w:history="1">
              <w:r w:rsidR="00D2699E">
                <w:rPr>
                  <w:rStyle w:val="Hyperlink"/>
                  <w:lang w:val="en"/>
                </w:rPr>
                <w:t>stay at home guidance</w:t>
              </w:r>
            </w:hyperlink>
            <w:r w:rsidRPr="00805115">
              <w:t xml:space="preserve"> and should arrange a PCR test as soon as possible</w:t>
            </w:r>
            <w:r w:rsidR="00D2699E">
              <w:t xml:space="preserve"> </w:t>
            </w:r>
            <w:hyperlink r:id="rId18" w:history="1">
              <w:r w:rsidR="00D2699E">
                <w:rPr>
                  <w:rStyle w:val="Hyperlink"/>
                  <w:lang w:val="en"/>
                </w:rPr>
                <w:t>COVID-19: getting tested guidance</w:t>
              </w:r>
            </w:hyperlink>
            <w:r w:rsidRPr="00805115">
              <w:t>.</w:t>
            </w:r>
          </w:p>
          <w:p w14:paraId="2336EF70" w14:textId="77777777" w:rsidR="00327221" w:rsidRDefault="00327221" w:rsidP="00327221"/>
        </w:tc>
        <w:tc>
          <w:tcPr>
            <w:tcW w:w="1791" w:type="dxa"/>
          </w:tcPr>
          <w:p w14:paraId="0D8C724F" w14:textId="77777777" w:rsidR="00327221" w:rsidRDefault="00327221" w:rsidP="00327221">
            <w:pPr>
              <w:rPr>
                <w:b/>
                <w:bCs/>
              </w:rPr>
            </w:pPr>
          </w:p>
        </w:tc>
      </w:tr>
      <w:tr w:rsidR="00805115" w14:paraId="06AC5E61" w14:textId="77777777" w:rsidTr="00327221">
        <w:tc>
          <w:tcPr>
            <w:tcW w:w="7225" w:type="dxa"/>
          </w:tcPr>
          <w:p w14:paraId="5B444515" w14:textId="7B913F5D" w:rsidR="00805115" w:rsidRPr="00805115" w:rsidRDefault="00805115" w:rsidP="00805115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theme="minorHAnsi"/>
              </w:rPr>
            </w:pPr>
            <w:r w:rsidRPr="00805115">
              <w:t>Staff working during this 10-day period</w:t>
            </w:r>
            <w:r w:rsidRPr="00805115">
              <w:rPr>
                <w:rFonts w:cstheme="minorHAnsi"/>
              </w:rPr>
              <w:t xml:space="preserve"> should comply with </w:t>
            </w:r>
            <w:hyperlink r:id="rId19" w:anchor="page=21" w:history="1">
              <w:r w:rsidRPr="00805115">
                <w:rPr>
                  <w:rStyle w:val="Hyperlink"/>
                  <w:rFonts w:cstheme="minorHAnsi"/>
                </w:rPr>
                <w:t>Infection Prevention &amp; Control guidance</w:t>
              </w:r>
            </w:hyperlink>
            <w:r w:rsidRPr="00805115">
              <w:rPr>
                <w:rFonts w:cstheme="minorHAnsi"/>
              </w:rPr>
              <w:t xml:space="preserve"> and PPE should be properly worn throughout the day. Any breaches should be reported immediately to their line manager.</w:t>
            </w:r>
          </w:p>
          <w:p w14:paraId="0AA3681C" w14:textId="2A8C1667" w:rsidR="00805115" w:rsidRDefault="00805115" w:rsidP="00327221">
            <w:pPr>
              <w:rPr>
                <w:rFonts w:cstheme="minorHAnsi"/>
              </w:rPr>
            </w:pPr>
          </w:p>
        </w:tc>
        <w:tc>
          <w:tcPr>
            <w:tcW w:w="1791" w:type="dxa"/>
          </w:tcPr>
          <w:p w14:paraId="39DDA269" w14:textId="77777777" w:rsidR="00805115" w:rsidRDefault="00805115" w:rsidP="00327221">
            <w:pPr>
              <w:rPr>
                <w:b/>
                <w:bCs/>
              </w:rPr>
            </w:pPr>
          </w:p>
        </w:tc>
      </w:tr>
      <w:tr w:rsidR="00805115" w14:paraId="50A5464A" w14:textId="77777777" w:rsidTr="00327221">
        <w:tc>
          <w:tcPr>
            <w:tcW w:w="7225" w:type="dxa"/>
          </w:tcPr>
          <w:p w14:paraId="4AE96574" w14:textId="119B5D87" w:rsidR="00805115" w:rsidRPr="00805115" w:rsidRDefault="00805115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 w:rsidRPr="00805115">
              <w:t>The staff member should not work with clinically extremely vulnerable patients (as determined by your organisation</w:t>
            </w:r>
            <w:r w:rsidR="00D2699E">
              <w:t xml:space="preserve"> </w:t>
            </w:r>
            <w:hyperlink r:id="rId20" w:history="1">
              <w:r w:rsidR="00D2699E">
                <w:rPr>
                  <w:rStyle w:val="Hyperlink"/>
                </w:rPr>
                <w:t>CEV list</w:t>
              </w:r>
            </w:hyperlink>
            <w:r w:rsidR="00D2699E">
              <w:t xml:space="preserve"> </w:t>
            </w:r>
            <w:r w:rsidRPr="00805115">
              <w:t>).</w:t>
            </w:r>
          </w:p>
          <w:p w14:paraId="44AEABDF" w14:textId="77777777" w:rsidR="00805115" w:rsidRPr="00805115" w:rsidRDefault="00805115" w:rsidP="00805115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7C046BB7" w14:textId="77777777" w:rsidR="00805115" w:rsidRDefault="00805115" w:rsidP="00327221">
            <w:pPr>
              <w:rPr>
                <w:b/>
                <w:bCs/>
              </w:rPr>
            </w:pPr>
          </w:p>
        </w:tc>
      </w:tr>
      <w:tr w:rsidR="00805115" w14:paraId="505463E7" w14:textId="77777777" w:rsidTr="00327221">
        <w:tc>
          <w:tcPr>
            <w:tcW w:w="7225" w:type="dxa"/>
          </w:tcPr>
          <w:p w14:paraId="7AAB9C2D" w14:textId="77777777" w:rsidR="00805115" w:rsidRDefault="00805115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 w:rsidRPr="00805115">
              <w:t>The staff member should not take breaks or eat meals with other staff</w:t>
            </w:r>
          </w:p>
          <w:p w14:paraId="22954976" w14:textId="1DD7CBA1" w:rsidR="00D2699E" w:rsidRPr="00805115" w:rsidRDefault="00D2699E" w:rsidP="00D2699E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542FFEF2" w14:textId="77777777" w:rsidR="00805115" w:rsidRDefault="00805115" w:rsidP="00327221">
            <w:pPr>
              <w:rPr>
                <w:b/>
                <w:bCs/>
              </w:rPr>
            </w:pPr>
          </w:p>
        </w:tc>
      </w:tr>
      <w:tr w:rsidR="00805115" w14:paraId="357118E0" w14:textId="77777777" w:rsidTr="00327221">
        <w:tc>
          <w:tcPr>
            <w:tcW w:w="7225" w:type="dxa"/>
          </w:tcPr>
          <w:p w14:paraId="33BB21E7" w14:textId="77777777" w:rsidR="00805115" w:rsidRPr="00805115" w:rsidRDefault="00805115" w:rsidP="00805115">
            <w:pPr>
              <w:pStyle w:val="ListParagraph"/>
              <w:numPr>
                <w:ilvl w:val="0"/>
                <w:numId w:val="19"/>
              </w:numPr>
              <w:ind w:left="313"/>
            </w:pPr>
            <w:r w:rsidRPr="00805115">
              <w:t>They can only leave their place of self-isolation to undertake work activities, including travel to and from work. They can travel to work by their normal route but should wear a face covering for their journey if within an enclosed space with other individuals.</w:t>
            </w:r>
          </w:p>
          <w:p w14:paraId="1538EFC3" w14:textId="77777777" w:rsidR="00805115" w:rsidRPr="00805115" w:rsidRDefault="00805115" w:rsidP="00D2699E">
            <w:pPr>
              <w:pStyle w:val="ListParagraph"/>
              <w:ind w:left="313"/>
            </w:pPr>
          </w:p>
        </w:tc>
        <w:tc>
          <w:tcPr>
            <w:tcW w:w="1791" w:type="dxa"/>
          </w:tcPr>
          <w:p w14:paraId="4452BEDE" w14:textId="77777777" w:rsidR="00805115" w:rsidRDefault="00805115" w:rsidP="00327221">
            <w:pPr>
              <w:rPr>
                <w:b/>
                <w:bCs/>
              </w:rPr>
            </w:pPr>
          </w:p>
        </w:tc>
      </w:tr>
      <w:tr w:rsidR="00805115" w14:paraId="357CB66F" w14:textId="77777777" w:rsidTr="00327221">
        <w:tc>
          <w:tcPr>
            <w:tcW w:w="7225" w:type="dxa"/>
          </w:tcPr>
          <w:p w14:paraId="62981F2D" w14:textId="2320619A" w:rsidR="00805115" w:rsidRPr="00805115" w:rsidRDefault="00805115" w:rsidP="00D2699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theme="minorHAnsi"/>
              </w:rPr>
            </w:pPr>
            <w:r w:rsidRPr="00D2699E">
              <w:t>Outside of work activities, the individual must follow current advice for self-isolation</w:t>
            </w:r>
            <w:r w:rsidR="00C00251">
              <w:t xml:space="preserve">: </w:t>
            </w:r>
            <w:hyperlink r:id="rId21" w:history="1">
              <w:r w:rsidR="00C00251">
                <w:rPr>
                  <w:rStyle w:val="Hyperlink"/>
                  <w:lang w:val="en"/>
                </w:rPr>
                <w:t>stay at home guidance</w:t>
              </w:r>
            </w:hyperlink>
          </w:p>
        </w:tc>
        <w:tc>
          <w:tcPr>
            <w:tcW w:w="1791" w:type="dxa"/>
          </w:tcPr>
          <w:p w14:paraId="00F0EB3A" w14:textId="77777777" w:rsidR="00805115" w:rsidRDefault="00805115" w:rsidP="00327221">
            <w:pPr>
              <w:rPr>
                <w:b/>
                <w:bCs/>
              </w:rPr>
            </w:pPr>
          </w:p>
        </w:tc>
      </w:tr>
    </w:tbl>
    <w:p w14:paraId="34F393AC" w14:textId="77777777" w:rsidR="00AA51AD" w:rsidRDefault="00AA51AD" w:rsidP="00805115"/>
    <w:sectPr w:rsidR="00AA51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4D134" w14:textId="77777777" w:rsidR="0091748C" w:rsidRDefault="0091748C" w:rsidP="00B1401D">
      <w:pPr>
        <w:spacing w:after="0" w:line="240" w:lineRule="auto"/>
      </w:pPr>
      <w:r>
        <w:separator/>
      </w:r>
    </w:p>
  </w:endnote>
  <w:endnote w:type="continuationSeparator" w:id="0">
    <w:p w14:paraId="5CE12B58" w14:textId="77777777" w:rsidR="0091748C" w:rsidRDefault="0091748C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51C67" w14:textId="77777777" w:rsidR="005F7A7A" w:rsidRDefault="005F7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D291" w14:textId="0EE335CB" w:rsidR="002B6116" w:rsidRDefault="002B6116" w:rsidP="002B6116">
    <w:pPr>
      <w:pStyle w:val="Footer"/>
      <w:rPr>
        <w:b/>
        <w:bCs/>
      </w:rPr>
    </w:pPr>
    <w:r>
      <w:rPr>
        <w:b/>
        <w:bCs/>
      </w:rPr>
      <w:t>-------------------------------------------------------------------------------------------------------------------------------------</w:t>
    </w:r>
  </w:p>
  <w:p w14:paraId="75DEC192" w14:textId="5CAB17D6" w:rsidR="002B6116" w:rsidRDefault="002B6116" w:rsidP="002B6116">
    <w:pPr>
      <w:pStyle w:val="Footer"/>
    </w:pPr>
    <w:r w:rsidRPr="002B6116">
      <w:rPr>
        <w:b/>
        <w:bCs/>
      </w:rPr>
      <w:t>R</w:t>
    </w:r>
    <w:r>
      <w:rPr>
        <w:b/>
        <w:bCs/>
      </w:rPr>
      <w:t>A:</w:t>
    </w:r>
    <w:r w:rsidRPr="002B6116">
      <w:rPr>
        <w:b/>
        <w:bCs/>
      </w:rPr>
      <w:t xml:space="preserve"> COVID exposure for HCWs in exceptional circumstances – V</w:t>
    </w:r>
    <w:r w:rsidR="005652A8">
      <w:rPr>
        <w:b/>
        <w:bCs/>
      </w:rPr>
      <w:t>2</w:t>
    </w:r>
    <w:r w:rsidRPr="002B6116">
      <w:rPr>
        <w:b/>
        <w:bCs/>
      </w:rPr>
      <w:t>, 202107</w:t>
    </w:r>
    <w:r w:rsidR="005652A8">
      <w:rPr>
        <w:b/>
        <w:bCs/>
      </w:rPr>
      <w:t>20</w:t>
    </w:r>
    <w:r>
      <w:rPr>
        <w:b/>
        <w:bCs/>
      </w:rPr>
      <w:t xml:space="preserve">                                        </w:t>
    </w:r>
    <w:sdt>
      <w:sdtPr>
        <w:id w:val="125517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A02667D" w14:textId="0BD9BF59" w:rsidR="00B1401D" w:rsidRPr="002B6116" w:rsidRDefault="00B1401D" w:rsidP="002B6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C0853" w14:textId="77777777" w:rsidR="005F7A7A" w:rsidRDefault="005F7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5266" w14:textId="77777777" w:rsidR="0091748C" w:rsidRDefault="0091748C" w:rsidP="00B1401D">
      <w:pPr>
        <w:spacing w:after="0" w:line="240" w:lineRule="auto"/>
      </w:pPr>
      <w:r>
        <w:separator/>
      </w:r>
    </w:p>
  </w:footnote>
  <w:footnote w:type="continuationSeparator" w:id="0">
    <w:p w14:paraId="7DAB2DB7" w14:textId="77777777" w:rsidR="0091748C" w:rsidRDefault="0091748C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8FBE" w14:textId="77777777" w:rsidR="005F7A7A" w:rsidRDefault="005F7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8274" w14:textId="15ECC107" w:rsidR="005F7A7A" w:rsidRDefault="005F7A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B5F658" wp14:editId="0CBD617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d91413aa632c59c25d3e84f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39FD5F" w14:textId="69BB971B" w:rsidR="005F7A7A" w:rsidRPr="005F7A7A" w:rsidRDefault="005F7A7A" w:rsidP="005F7A7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7A7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5F658" id="_x0000_t202" coordsize="21600,21600" o:spt="202" path="m,l,21600r21600,l21600,xe">
              <v:stroke joinstyle="miter"/>
              <v:path gradientshapeok="t" o:connecttype="rect"/>
            </v:shapetype>
            <v:shape id="MSIPCM4d91413aa632c59c25d3e84f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f7rwIAAEcFAAAOAAAAZHJzL2Uyb0RvYy54bWysVEtv2zAMvg/YfxB02Gmr7cTOw6tTZCm6&#10;FkjbAOnQsyLLsQFbUiWldjbsv4+S5XTtdhp2sSmS4uPjR51fdE2NnpnSleAZjs5CjBinIq/4PsPf&#10;Hq4+zTDShvCc1IKzDB+ZxheL9+/OW5mykShFnTOFIAjXaSszXBoj0yDQtGQN0WdCMg7GQqiGGDiq&#10;fZAr0kL0pg5GYTgJWqFyqQRlWoP2sjfihYtfFIya+6LQzKA6w1CbcV/lvjv7DRbnJN0rIsuK+jLI&#10;P1TRkIpD0lOoS2IIOqjqj1BNRZXQojBnVDSBKIqKMtcDdBOFb7rZlkQy1wuAo+UJJv3/wtK7541C&#10;VQ6zw4iTBkZ0u73ZrG7jfB7F0ZiQyXhEkzkdJfmYzeICo5xpCgj++PB0EObzNdHlSuSsP6XRfDad&#10;TONoHn30dlbtS+OtsxgY4g2PVW5Kr0/myUm/qQllDePDnSEMAaL0sg9ww3PW+QD9b6OqhqjjK68t&#10;UAC46f2Gqh6E9JrwlHjNiiEnKH9aarRSp4DQVgJGpvsiOguT12tQ2ol3hWrsH2aJwA4kO56IxTqD&#10;KCinySQcR2CiYBtNx2HimBe83JZKm69MNMgKGVZQteMTeV5rAxnBdXCxybi4qurakbfmqM3wZAwh&#10;X1ngRs3hou2hr9VKptt1voGdyI/QlxL9UmhJrypIvibabIiCLYB6YbPNPXyKWkAS4SWMSqG+/01v&#10;/YGcYMWoha3KsH46EMUwqm840HaUxGFo99CdQFBOAKrFcNgNWn5oVgI2FjgJZTnR+pp6EAslmkfY&#10;/KVNBybCKSTNsBnElYETGODloGy5dDJsnCRmzbeS2tAWLYvpQ/dIlPTAGxjZnRgWj6Rv8O99e5yX&#10;ByOKyg3HItvD6QGHbXUz8y+LfQ5+Pzuvl/dv8QsAAP//AwBQSwMEFAAGAAgAAAAhAGkB3iPcAAAA&#10;BwEAAA8AAABkcnMvZG93bnJldi54bWxMj8FOwzAQRO9I/IO1SNyoXSoVmmZToSAOSByg5QOceEkC&#10;8TqKt2n697gnOK1GM5p5m+9m36uJxtgFRlguDCjiOriOG4TPw8vdI6golp3tAxPCmSLsiuur3GYu&#10;nPiDpr00KpVwzCxCKzJkWse6JW/jIgzEyfsKo7eS5NhoN9pTKve9vjdmrb3tOC20dqCypfpnf/QI&#10;ZfnuDmdp3vj5u5srV71OtR8Qb2/mpy0ooVn+wnDBT+hQJKYqHNlF1SOkRwRhZdK9uMuNWYOqEB5W&#10;BnSR6//8xS8AAAD//wMAUEsBAi0AFAAGAAgAAAAhALaDOJL+AAAA4QEAABMAAAAAAAAAAAAAAAAA&#10;AAAAAFtDb250ZW50X1R5cGVzXS54bWxQSwECLQAUAAYACAAAACEAOP0h/9YAAACUAQAACwAAAAAA&#10;AAAAAAAAAAAvAQAAX3JlbHMvLnJlbHNQSwECLQAUAAYACAAAACEAcwJn+68CAABHBQAADgAAAAAA&#10;AAAAAAAAAAAuAgAAZHJzL2Uyb0RvYy54bWxQSwECLQAUAAYACAAAACEAaQHeI9wAAAAHAQAADwAA&#10;AAAAAAAAAAAAAAAJ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5239FD5F" w14:textId="69BB971B" w:rsidR="005F7A7A" w:rsidRPr="005F7A7A" w:rsidRDefault="005F7A7A" w:rsidP="005F7A7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7A7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B3DD6" w14:textId="77777777" w:rsidR="005F7A7A" w:rsidRDefault="005F7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4B0E"/>
    <w:multiLevelType w:val="hybridMultilevel"/>
    <w:tmpl w:val="1C541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17E"/>
    <w:multiLevelType w:val="hybridMultilevel"/>
    <w:tmpl w:val="F1CCE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90470"/>
    <w:multiLevelType w:val="hybridMultilevel"/>
    <w:tmpl w:val="E55A4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C6FA5"/>
    <w:multiLevelType w:val="hybridMultilevel"/>
    <w:tmpl w:val="9E6AC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A6CA5"/>
    <w:multiLevelType w:val="hybridMultilevel"/>
    <w:tmpl w:val="8FC0577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DB3131D"/>
    <w:multiLevelType w:val="hybridMultilevel"/>
    <w:tmpl w:val="0BE6BB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C3702"/>
    <w:multiLevelType w:val="hybridMultilevel"/>
    <w:tmpl w:val="F4F4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881"/>
    <w:multiLevelType w:val="hybridMultilevel"/>
    <w:tmpl w:val="289E8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5390"/>
    <w:multiLevelType w:val="hybridMultilevel"/>
    <w:tmpl w:val="B720DE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2D7834"/>
    <w:multiLevelType w:val="hybridMultilevel"/>
    <w:tmpl w:val="5510DB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2611A"/>
    <w:multiLevelType w:val="hybridMultilevel"/>
    <w:tmpl w:val="BB58A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61A39"/>
    <w:multiLevelType w:val="hybridMultilevel"/>
    <w:tmpl w:val="F98C0C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32829"/>
    <w:multiLevelType w:val="hybridMultilevel"/>
    <w:tmpl w:val="8A30E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17AD9"/>
    <w:multiLevelType w:val="hybridMultilevel"/>
    <w:tmpl w:val="472012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84465"/>
    <w:multiLevelType w:val="hybridMultilevel"/>
    <w:tmpl w:val="50D6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1613F"/>
    <w:multiLevelType w:val="hybridMultilevel"/>
    <w:tmpl w:val="FD647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620EC"/>
    <w:multiLevelType w:val="hybridMultilevel"/>
    <w:tmpl w:val="39EECFE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7D4651"/>
    <w:multiLevelType w:val="hybridMultilevel"/>
    <w:tmpl w:val="8AAC7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62422"/>
    <w:multiLevelType w:val="hybridMultilevel"/>
    <w:tmpl w:val="7CC05A94"/>
    <w:lvl w:ilvl="0" w:tplc="08D0698C">
      <w:start w:val="8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9"/>
  </w:num>
  <w:num w:numId="11">
    <w:abstractNumId w:val="13"/>
  </w:num>
  <w:num w:numId="12">
    <w:abstractNumId w:val="16"/>
  </w:num>
  <w:num w:numId="13">
    <w:abstractNumId w:val="18"/>
  </w:num>
  <w:num w:numId="14">
    <w:abstractNumId w:val="8"/>
  </w:num>
  <w:num w:numId="15">
    <w:abstractNumId w:val="2"/>
  </w:num>
  <w:num w:numId="16">
    <w:abstractNumId w:val="7"/>
  </w:num>
  <w:num w:numId="17">
    <w:abstractNumId w:val="1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7"/>
    <w:rsid w:val="00016217"/>
    <w:rsid w:val="000419A7"/>
    <w:rsid w:val="00043AFD"/>
    <w:rsid w:val="0012364E"/>
    <w:rsid w:val="0015596E"/>
    <w:rsid w:val="00176FE3"/>
    <w:rsid w:val="0019148E"/>
    <w:rsid w:val="001C4531"/>
    <w:rsid w:val="001D5EEC"/>
    <w:rsid w:val="00222231"/>
    <w:rsid w:val="00277729"/>
    <w:rsid w:val="00287DE9"/>
    <w:rsid w:val="002A0F87"/>
    <w:rsid w:val="002B6116"/>
    <w:rsid w:val="00327221"/>
    <w:rsid w:val="003F54EF"/>
    <w:rsid w:val="004637D5"/>
    <w:rsid w:val="004B5B97"/>
    <w:rsid w:val="005652A8"/>
    <w:rsid w:val="005A3756"/>
    <w:rsid w:val="005A6DE1"/>
    <w:rsid w:val="005B19A8"/>
    <w:rsid w:val="005C71B0"/>
    <w:rsid w:val="005F7A7A"/>
    <w:rsid w:val="006925A3"/>
    <w:rsid w:val="006E0627"/>
    <w:rsid w:val="00780DC2"/>
    <w:rsid w:val="007E7B5A"/>
    <w:rsid w:val="00805115"/>
    <w:rsid w:val="008A54CB"/>
    <w:rsid w:val="008D317B"/>
    <w:rsid w:val="008F18B5"/>
    <w:rsid w:val="0091748C"/>
    <w:rsid w:val="009737D9"/>
    <w:rsid w:val="009D1A67"/>
    <w:rsid w:val="00A86EC3"/>
    <w:rsid w:val="00AA51AD"/>
    <w:rsid w:val="00AF2F43"/>
    <w:rsid w:val="00B051D8"/>
    <w:rsid w:val="00B1401D"/>
    <w:rsid w:val="00BD00C4"/>
    <w:rsid w:val="00BF768B"/>
    <w:rsid w:val="00C00251"/>
    <w:rsid w:val="00C9077F"/>
    <w:rsid w:val="00CE4766"/>
    <w:rsid w:val="00D2699E"/>
    <w:rsid w:val="00D96D04"/>
    <w:rsid w:val="00DD762D"/>
    <w:rsid w:val="00EB609F"/>
    <w:rsid w:val="00F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17C68C"/>
  <w15:chartTrackingRefBased/>
  <w15:docId w15:val="{6045C72C-62D6-427A-A704-52155D5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27"/>
    <w:pPr>
      <w:ind w:left="720"/>
      <w:contextualSpacing/>
    </w:pPr>
  </w:style>
  <w:style w:type="table" w:styleId="TableGrid">
    <w:name w:val="Table Grid"/>
    <w:basedOn w:val="TableNormal"/>
    <w:uiPriority w:val="39"/>
    <w:rsid w:val="002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01D"/>
  </w:style>
  <w:style w:type="paragraph" w:styleId="Footer">
    <w:name w:val="footer"/>
    <w:basedOn w:val="Normal"/>
    <w:link w:val="FooterChar"/>
    <w:uiPriority w:val="99"/>
    <w:unhideWhenUsed/>
    <w:rsid w:val="00B1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01D"/>
  </w:style>
  <w:style w:type="character" w:styleId="Hyperlink">
    <w:name w:val="Hyperlink"/>
    <w:basedOn w:val="DefaultParagraphFont"/>
    <w:uiPriority w:val="99"/>
    <w:unhideWhenUsed/>
    <w:rsid w:val="00805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1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18" Type="http://schemas.openxmlformats.org/officeDocument/2006/relationships/hyperlink" Target="https://www.gov.uk/guidance/coronavirus-covid-19-getting-tested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covid-19-stay-at-home-guidanc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gin.microsoftonline.com/ee4e1499-4a35-4b2e-ad47-5f3cf9de8666/oauth2/authorize?client_id=3eaeb64d-2c01-43b5-a4d2-ef3a5440b227&amp;redirect_uri=https%3a%2f%2fconnect.phe.gov.uk%2f&amp;response_type=code+id_token&amp;scope=openid+profile+email&amp;state=OpenIdConnect.AuthenticationProperties%3d5QHmn7-WBg5jKN3snW3tw8X0kY0XBMaA0uBr6OQpdGblkDReTiGO07akZsN_p6z22M9Id7eaXWGONZYpv1-gN01x_Yl5vcLNylKagox-ALGiuh4jaquVARo-S9TiK6C9Wi9fHKQicWa1s7Rs_OoKWKYQ2dX1qcj0AwcMQtzwtS0iGduq6HpHNsSSvTCFxrXPwfNwdjOMWQ6W6ZOb1d4nT4wD_1uYvpSbQYu90gK6KnZ6RBNIrVFWG_qVtZHhYg2p&amp;response_mode=form_post&amp;nonce=637457093281503902.MjNmNjFmYjQtYjY0Yy00Zjc4LWIwMTQtMGY3MDUyOTFmNTA5N2U1ZmEyYzktMWJlMy00NDE1LWE3MmQtODU5MmQzNDU2NmQy&amp;x-client-SKU=ID_NET461&amp;x-client-ver=5.6.0.0&amp;https://www.gov.uk/government/publications/covid-19-management-of-exposed-healthcare-workers-and-patients-in-hospital-settings/covid-19-management-of-exposed-healthcare-workers-and-patients-in-hospital-settings" TargetMode="External"/><Relationship Id="rId17" Type="http://schemas.openxmlformats.org/officeDocument/2006/relationships/hyperlink" Target="https://www.gov.uk/government/publications/covid-19-stay-at-home-guidanc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957271/COVID-19-self-test-instructions.pdf" TargetMode="External"/><Relationship Id="rId20" Type="http://schemas.openxmlformats.org/officeDocument/2006/relationships/hyperlink" Target="https://www.nhs.uk/conditions/coronavirus-covid-19/people-at-higher-risk/who-is-at-high-risk-from-coronavirus-clinically-extremely-vulnerabl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gov.uk/guidance/coronavirus-covid-19-getting-teste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gov.uk/government/publications/covid-19-management-of-exposed-healthcare-workers-and-patients-in-hospital-settings" TargetMode="External"/><Relationship Id="rId19" Type="http://schemas.openxmlformats.org/officeDocument/2006/relationships/hyperlink" Target="https://assets.publishing.service.gov.uk/government/uploads/system/uploads/attachment_data/file/910885/COVID-19_Infection_prevention_and_control_guidance_FINAL_PDF_2008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wuhan-novel-coronavirus-background-information/wuhan-novel-coronavirus-epidemiology-virology-and-clinical-featur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35C735DECB931445AE8B0F6248AB3E47" ma:contentTypeVersion="30" ma:contentTypeDescription="Extension of document type to include extra info eg HideFromDelve, retention, classification" ma:contentTypeScope="" ma:versionID="47a4b9be6f757f0884e9f593da2c66b0">
  <xsd:schema xmlns:xsd="http://www.w3.org/2001/XMLSchema" xmlns:xs="http://www.w3.org/2001/XMLSchema" xmlns:p="http://schemas.microsoft.com/office/2006/metadata/properties" xmlns:ns2="3fc7b4f3-a0e9-46ca-b4f0-2556f21f87bd" xmlns:ns3="5924ccf3-8b3d-4bd9-8623-315577dcfb3c" targetNamespace="http://schemas.microsoft.com/office/2006/metadata/properties" ma:root="true" ma:fieldsID="7fdb88270d594ad7d2016dce02d9e490" ns2:_="" ns3:_="">
    <xsd:import namespace="3fc7b4f3-a0e9-46ca-b4f0-2556f21f87bd"/>
    <xsd:import namespace="5924ccf3-8b3d-4bd9-8623-315577dcfb3c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8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ccf3-8b3d-4bd9-8623-315577dcf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32CDD-3416-46EE-A2CC-A73FEAD1A2A3}">
  <ds:schemaRefs>
    <ds:schemaRef ds:uri="http://schemas.microsoft.com/office/2006/metadata/properties"/>
    <ds:schemaRef ds:uri="http://schemas.microsoft.com/office/infopath/2007/PartnerControls"/>
    <ds:schemaRef ds:uri="3fc7b4f3-a0e9-46ca-b4f0-2556f21f87bd"/>
  </ds:schemaRefs>
</ds:datastoreItem>
</file>

<file path=customXml/itemProps2.xml><?xml version="1.0" encoding="utf-8"?>
<ds:datastoreItem xmlns:ds="http://schemas.openxmlformats.org/officeDocument/2006/customXml" ds:itemID="{8A7ADD9E-DAE9-4C3A-AF46-A9DC001E2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A2478-431F-4C5D-993E-F2DE23750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b4f3-a0e9-46ca-b4f0-2556f21f87bd"/>
    <ds:schemaRef ds:uri="5924ccf3-8b3d-4bd9-8623-315577dcf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and South Devon NHS Foundation Trust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Lynn (TORBAY AND SOUTH DEVON NHS FOUNDATION TRUST)</dc:creator>
  <cp:keywords/>
  <dc:description/>
  <cp:lastModifiedBy>Demuth, Alice</cp:lastModifiedBy>
  <cp:revision>2</cp:revision>
  <dcterms:created xsi:type="dcterms:W3CDTF">2021-07-27T15:32:00Z</dcterms:created>
  <dcterms:modified xsi:type="dcterms:W3CDTF">2021-07-27T15:32:00Z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0x01010009DF25CF94082642959723941C1AE3330035C735DECB931445AE8B0F6248AB3E47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2021-07-27T15:31:55Z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65ab35f7-3171-409a-a7c0-38f9fc5738b7</vt:lpwstr>
  </property>
  <property fmtid="{D5CDD505-2E9C-101B-9397-08002B2CF9AE}" pid="9" name="MSIP_Label_763da656-5c75-4f6d-9461-4a3ce9a537cc_ContentBits">
    <vt:lpwstr>1</vt:lpwstr>
  </property>
</Properties>
</file>